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501" w:rsidRPr="00DC0CF7" w:rsidRDefault="00882D41">
      <w:pPr>
        <w:rPr>
          <w:i/>
          <w:iCs/>
        </w:rPr>
      </w:pPr>
      <w:r w:rsidRPr="00DC0CF7">
        <w:rPr>
          <w:i/>
          <w:iCs/>
        </w:rPr>
        <w:t>Vida Ágnes</w:t>
      </w:r>
    </w:p>
    <w:p w:rsidR="00882D41" w:rsidRDefault="00882D41" w:rsidP="00DC0CF7">
      <w:pPr>
        <w:jc w:val="center"/>
      </w:pPr>
    </w:p>
    <w:p w:rsidR="00DC0CF7" w:rsidRPr="008245BA" w:rsidRDefault="00DC0CF7" w:rsidP="00DC0CF7">
      <w:pPr>
        <w:jc w:val="center"/>
        <w:rPr>
          <w:b/>
          <w:bCs/>
          <w:sz w:val="32"/>
          <w:szCs w:val="32"/>
        </w:rPr>
      </w:pPr>
      <w:r w:rsidRPr="008245BA">
        <w:rPr>
          <w:b/>
          <w:bCs/>
          <w:sz w:val="32"/>
          <w:szCs w:val="32"/>
        </w:rPr>
        <w:t>KÖZÖSSÉGI PSZICHIÁTRIAI ELLÁTÁS</w:t>
      </w:r>
    </w:p>
    <w:p w:rsidR="00DC0CF7" w:rsidRPr="008245BA" w:rsidRDefault="00DC0CF7" w:rsidP="00DC0CF7">
      <w:pPr>
        <w:jc w:val="center"/>
        <w:rPr>
          <w:b/>
          <w:bCs/>
          <w:sz w:val="32"/>
          <w:szCs w:val="32"/>
        </w:rPr>
      </w:pPr>
      <w:r w:rsidRPr="008245BA">
        <w:rPr>
          <w:b/>
          <w:bCs/>
          <w:sz w:val="32"/>
          <w:szCs w:val="32"/>
        </w:rPr>
        <w:t>2025.</w:t>
      </w:r>
    </w:p>
    <w:p w:rsidR="00DC0CF7" w:rsidRPr="00DC0CF7" w:rsidRDefault="00DC0CF7">
      <w:pPr>
        <w:rPr>
          <w:sz w:val="28"/>
          <w:szCs w:val="28"/>
        </w:rPr>
      </w:pPr>
    </w:p>
    <w:p w:rsidR="00882D41" w:rsidRDefault="001F4D64">
      <w:r>
        <w:t xml:space="preserve">A </w:t>
      </w:r>
      <w:r w:rsidR="00882D41">
        <w:t xml:space="preserve">2024 őszén </w:t>
      </w:r>
      <w:r>
        <w:t xml:space="preserve">kezdeményezett sikeres feladatmutató emelési kérelmünk </w:t>
      </w:r>
      <w:proofErr w:type="gramStart"/>
      <w:r>
        <w:t>nyomán  60</w:t>
      </w:r>
      <w:proofErr w:type="gramEnd"/>
      <w:r>
        <w:t xml:space="preserve"> fővel bővült működési engedélyünk, a korábbi 145 főhöz képest. </w:t>
      </w:r>
      <w:r w:rsidR="00F85902">
        <w:t>Ennek megfelelően a 2024.11.28-i igénybejelentésünk és a 2025. január 27-én kelt pótigénylésünk alapján</w:t>
      </w:r>
      <w:r w:rsidR="00882D41">
        <w:t xml:space="preserve"> </w:t>
      </w:r>
      <w:r w:rsidR="00F85902">
        <w:t>a</w:t>
      </w:r>
      <w:r w:rsidR="00882D41">
        <w:t xml:space="preserve"> Magyar Államkincstár a BPM-ÁHI/1321-3/2025-ös határozatában a 2025-re teljesítendő feladatmutatót </w:t>
      </w:r>
      <w:r w:rsidR="00882D41" w:rsidRPr="00F85902">
        <w:rPr>
          <w:b/>
          <w:bCs/>
        </w:rPr>
        <w:t>202,5342</w:t>
      </w:r>
      <w:r w:rsidR="00882D41">
        <w:t xml:space="preserve">-ben határozta meg. </w:t>
      </w:r>
      <w:r w:rsidR="00F85902">
        <w:t>Ez a mintegy 40 %-os állománynövelési kötelezettségünk tükröződik adatainkban.</w:t>
      </w:r>
    </w:p>
    <w:p w:rsidR="00F85902" w:rsidRDefault="00F85902"/>
    <w:p w:rsidR="0000271D" w:rsidRPr="002E5149" w:rsidRDefault="0000271D">
      <w:pPr>
        <w:rPr>
          <w:b/>
          <w:bCs/>
        </w:rPr>
      </w:pPr>
      <w:r w:rsidRPr="002E5149">
        <w:rPr>
          <w:b/>
          <w:bCs/>
        </w:rPr>
        <w:t>LÉTSZÁMADATOK</w:t>
      </w:r>
    </w:p>
    <w:p w:rsidR="0000271D" w:rsidRDefault="00F85902">
      <w:r>
        <w:t xml:space="preserve">A </w:t>
      </w:r>
      <w:r w:rsidRPr="00281DEE">
        <w:rPr>
          <w:b/>
          <w:bCs/>
        </w:rPr>
        <w:t>160 fős nyitó</w:t>
      </w:r>
      <w:r>
        <w:t xml:space="preserve"> és </w:t>
      </w:r>
      <w:r w:rsidRPr="00281DEE">
        <w:rPr>
          <w:b/>
          <w:bCs/>
        </w:rPr>
        <w:t>229 fős zárólétszám</w:t>
      </w:r>
      <w:r>
        <w:t xml:space="preserve"> mellett </w:t>
      </w:r>
      <w:r w:rsidRPr="00281DEE">
        <w:rPr>
          <w:b/>
          <w:bCs/>
        </w:rPr>
        <w:t>összesen 256 klienst láttunk el</w:t>
      </w:r>
      <w:r>
        <w:t xml:space="preserve"> a közösségi gondozásban. Az év során </w:t>
      </w:r>
      <w:r w:rsidRPr="00281DEE">
        <w:rPr>
          <w:b/>
          <w:bCs/>
        </w:rPr>
        <w:t>27 kigondozás</w:t>
      </w:r>
      <w:r>
        <w:t xml:space="preserve"> </w:t>
      </w:r>
      <w:r w:rsidR="007853CE">
        <w:t xml:space="preserve">és </w:t>
      </w:r>
      <w:r w:rsidR="007853CE" w:rsidRPr="00281DEE">
        <w:rPr>
          <w:b/>
          <w:bCs/>
        </w:rPr>
        <w:t>96 begondozás</w:t>
      </w:r>
      <w:r w:rsidR="007853CE">
        <w:t xml:space="preserve"> történt.</w:t>
      </w:r>
      <w:r w:rsidR="00DE5243">
        <w:t xml:space="preserve"> </w:t>
      </w:r>
    </w:p>
    <w:p w:rsidR="00342AB3" w:rsidRDefault="00DE5243">
      <w:r>
        <w:t xml:space="preserve">Klienseink </w:t>
      </w:r>
      <w:r w:rsidRPr="00281DEE">
        <w:rPr>
          <w:b/>
          <w:bCs/>
        </w:rPr>
        <w:t>58,6%-a – 150 Fő nő</w:t>
      </w:r>
      <w:r>
        <w:t xml:space="preserve"> volt, </w:t>
      </w:r>
      <w:r w:rsidRPr="00281DEE">
        <w:rPr>
          <w:b/>
          <w:bCs/>
        </w:rPr>
        <w:t>41,4% -106 fő férfi</w:t>
      </w:r>
      <w:r>
        <w:t xml:space="preserve"> volt. </w:t>
      </w:r>
    </w:p>
    <w:p w:rsidR="00342AB3" w:rsidRDefault="00342AB3">
      <w:r>
        <w:rPr>
          <w:noProof/>
        </w:rPr>
        <w:drawing>
          <wp:inline distT="0" distB="0" distL="0" distR="0" wp14:anchorId="4AAD795C" wp14:editId="736C269B">
            <wp:extent cx="4566771" cy="2734796"/>
            <wp:effectExtent l="0" t="0" r="5715" b="8890"/>
            <wp:docPr id="71103960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8ABB3C5-0D48-A37B-0FB7-2414DD1DB6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2AB3" w:rsidRDefault="00342AB3"/>
    <w:p w:rsidR="00342AB3" w:rsidRDefault="00342AB3" w:rsidP="00342AB3">
      <w:r>
        <w:t xml:space="preserve">Ellátottjaink </w:t>
      </w:r>
      <w:r w:rsidRPr="00281DEE">
        <w:rPr>
          <w:b/>
          <w:bCs/>
        </w:rPr>
        <w:t>átlagéletkora 43 év</w:t>
      </w:r>
      <w:r>
        <w:t xml:space="preserve"> volt</w:t>
      </w:r>
      <w:r w:rsidR="008245BA">
        <w:t>,</w:t>
      </w:r>
      <w:r>
        <w:t xml:space="preserve"> 19 – 70 év szélsőértékek között.</w:t>
      </w:r>
    </w:p>
    <w:p w:rsidR="00342AB3" w:rsidRDefault="00342AB3"/>
    <w:p w:rsidR="00DE5243" w:rsidRDefault="00DE5243">
      <w:r>
        <w:t xml:space="preserve">A kliensek diagnóziskód szerinti megoszlása az alábbiak szerint alakult: </w:t>
      </w:r>
    </w:p>
    <w:p w:rsidR="00DE5243" w:rsidRDefault="00DE5243">
      <w:r>
        <w:t>F</w:t>
      </w:r>
      <w:proofErr w:type="gramStart"/>
      <w:r>
        <w:t>20..</w:t>
      </w:r>
      <w:proofErr w:type="gramEnd"/>
      <w:r>
        <w:tab/>
      </w:r>
      <w:r>
        <w:tab/>
        <w:t>130 fő</w:t>
      </w:r>
      <w:r>
        <w:tab/>
      </w:r>
      <w:r>
        <w:tab/>
        <w:t>50,8%</w:t>
      </w:r>
    </w:p>
    <w:p w:rsidR="00DE5243" w:rsidRDefault="00DE5243">
      <w:r>
        <w:t>F</w:t>
      </w:r>
      <w:proofErr w:type="gramStart"/>
      <w:r>
        <w:t>30..</w:t>
      </w:r>
      <w:proofErr w:type="gramEnd"/>
      <w:r>
        <w:tab/>
      </w:r>
      <w:r>
        <w:tab/>
        <w:t>105 fő</w:t>
      </w:r>
      <w:r>
        <w:tab/>
      </w:r>
      <w:r>
        <w:tab/>
        <w:t>41,0%</w:t>
      </w:r>
    </w:p>
    <w:p w:rsidR="00DE5243" w:rsidRDefault="00DE5243">
      <w:r>
        <w:t>F</w:t>
      </w:r>
      <w:proofErr w:type="gramStart"/>
      <w:r>
        <w:t>40..</w:t>
      </w:r>
      <w:proofErr w:type="gramEnd"/>
      <w:r>
        <w:tab/>
      </w:r>
      <w:r>
        <w:tab/>
        <w:t xml:space="preserve">  21 fő</w:t>
      </w:r>
      <w:r>
        <w:tab/>
      </w:r>
      <w:proofErr w:type="gramStart"/>
      <w:r>
        <w:tab/>
        <w:t xml:space="preserve">  8</w:t>
      </w:r>
      <w:proofErr w:type="gramEnd"/>
      <w:r>
        <w:t>,2%</w:t>
      </w:r>
      <w:r>
        <w:tab/>
      </w:r>
    </w:p>
    <w:p w:rsidR="00951242" w:rsidRDefault="00951242"/>
    <w:p w:rsidR="00951242" w:rsidRDefault="00951242">
      <w:r>
        <w:rPr>
          <w:noProof/>
        </w:rPr>
        <w:drawing>
          <wp:inline distT="0" distB="0" distL="0" distR="0" wp14:anchorId="4474F053" wp14:editId="6CFF4B0C">
            <wp:extent cx="4572000" cy="2616200"/>
            <wp:effectExtent l="0" t="0" r="0" b="12700"/>
            <wp:docPr id="78689860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FF6C71D-17C2-EAEC-6081-2642DDC1A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1242" w:rsidRDefault="00951242"/>
    <w:p w:rsidR="0000271D" w:rsidRDefault="0000271D">
      <w:r>
        <w:t>2025-ben Budapest minden kerületéből, valamint mindkét ellátási területünkhöz tartozó járásból érkeztek közösségi gondozottjaink:</w:t>
      </w:r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00"/>
        <w:gridCol w:w="960"/>
      </w:tblGrid>
      <w:tr w:rsidR="00272EE3" w:rsidRPr="00272EE3" w:rsidTr="00272EE3">
        <w:trPr>
          <w:trHeight w:val="29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LAKHELY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FŐ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%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2,3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5,9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IV.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5,5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V.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VI.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3,5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VII.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3,1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VIII.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491B11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B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14,5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IX.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8,2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6,6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7,0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2,0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XIII.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5,9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XIV.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6,6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XV.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3,5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XVI.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XVII.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3,1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XVIII.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2,3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XIX.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2,7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XX.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2,0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XXI-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5,1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XXII.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0,8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XXIII.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0,4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Érd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0,4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Diósd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0,4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Százhalombatta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0,8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Törökbálint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0,4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Budakeszi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0,4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Budaörs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</w:t>
            </w:r>
          </w:p>
        </w:tc>
      </w:tr>
      <w:tr w:rsidR="00272EE3" w:rsidRPr="00272EE3" w:rsidTr="00272EE3">
        <w:trPr>
          <w:trHeight w:val="2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Biatorbágy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EE3" w:rsidRPr="00272EE3" w:rsidRDefault="00272EE3" w:rsidP="0027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272EE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0,4</w:t>
            </w:r>
          </w:p>
        </w:tc>
      </w:tr>
    </w:tbl>
    <w:p w:rsidR="007853CE" w:rsidRDefault="007853CE"/>
    <w:p w:rsidR="00491B11" w:rsidRDefault="00491B11">
      <w:r>
        <w:rPr>
          <w:noProof/>
        </w:rPr>
        <w:drawing>
          <wp:inline distT="0" distB="0" distL="0" distR="0" wp14:anchorId="28A01C8E" wp14:editId="0113D697">
            <wp:extent cx="4572000" cy="2743200"/>
            <wp:effectExtent l="0" t="0" r="0" b="0"/>
            <wp:docPr id="163942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F5B51FE-4AFA-B477-CE84-46B88072C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1B11" w:rsidRDefault="00491B11"/>
    <w:p w:rsidR="00491B11" w:rsidRDefault="00491B11">
      <w:r>
        <w:t>Változatlanul a VIII. kerületiek aránya a legmagasabb, de szép számmal érkeznek a III</w:t>
      </w:r>
      <w:proofErr w:type="gramStart"/>
      <w:r>
        <w:t>.,IV</w:t>
      </w:r>
      <w:proofErr w:type="gramEnd"/>
      <w:r>
        <w:t xml:space="preserve">., IX., </w:t>
      </w:r>
      <w:proofErr w:type="gramStart"/>
      <w:r>
        <w:t>X.,XI.,XIII.,XIV.,XXI</w:t>
      </w:r>
      <w:proofErr w:type="gramEnd"/>
      <w:r>
        <w:t>., kerületből is.</w:t>
      </w:r>
    </w:p>
    <w:p w:rsidR="00491B11" w:rsidRDefault="00491B11"/>
    <w:p w:rsidR="002E5149" w:rsidRDefault="002E5149">
      <w:pPr>
        <w:rPr>
          <w:b/>
          <w:bCs/>
        </w:rPr>
      </w:pPr>
      <w:r w:rsidRPr="002E5149">
        <w:rPr>
          <w:b/>
          <w:bCs/>
        </w:rPr>
        <w:t>FELADATMUTATÓ</w:t>
      </w:r>
    </w:p>
    <w:p w:rsidR="002E5149" w:rsidRDefault="002E5149">
      <w:pPr>
        <w:rPr>
          <w:b/>
          <w:bCs/>
        </w:rPr>
      </w:pPr>
    </w:p>
    <w:tbl>
      <w:tblPr>
        <w:tblW w:w="18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2"/>
        <w:gridCol w:w="920"/>
        <w:gridCol w:w="920"/>
        <w:gridCol w:w="920"/>
        <w:gridCol w:w="920"/>
        <w:gridCol w:w="920"/>
        <w:gridCol w:w="920"/>
        <w:gridCol w:w="960"/>
        <w:gridCol w:w="960"/>
        <w:gridCol w:w="960"/>
        <w:gridCol w:w="960"/>
        <w:gridCol w:w="960"/>
      </w:tblGrid>
      <w:tr w:rsidR="002E5149" w:rsidRPr="002E5149" w:rsidTr="00342AB3">
        <w:trPr>
          <w:trHeight w:val="295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6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</w:tblGrid>
            <w:tr w:rsidR="002E5149" w:rsidRPr="002E5149" w:rsidTr="002E5149">
              <w:trPr>
                <w:trHeight w:val="29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01.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02.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03.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04.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05.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06.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07.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08.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09.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10.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11.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u-HU"/>
                      <w14:ligatures w14:val="none"/>
                    </w:rPr>
                    <w:t>12.</w:t>
                  </w:r>
                </w:p>
              </w:tc>
            </w:tr>
            <w:tr w:rsidR="002E5149" w:rsidRPr="002E5149" w:rsidTr="002E5149">
              <w:trPr>
                <w:trHeight w:val="29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 </w:t>
                  </w:r>
                </w:p>
              </w:tc>
            </w:tr>
            <w:tr w:rsidR="002E5149" w:rsidRPr="002E5149" w:rsidTr="002E5149">
              <w:trPr>
                <w:trHeight w:val="29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165,1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184,6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196,2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198,5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203,1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204,6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207,3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210,8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217,8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225,0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228,1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E5149" w:rsidRPr="002E5149" w:rsidRDefault="002E5149" w:rsidP="002E514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</w:pPr>
                  <w:r w:rsidRPr="002E5149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  <w14:ligatures w14:val="none"/>
                    </w:rPr>
                    <w:t>229,5</w:t>
                  </w:r>
                </w:p>
              </w:tc>
            </w:tr>
          </w:tbl>
          <w:p w:rsidR="00342AB3" w:rsidRDefault="00342AB3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8245BA" w:rsidRDefault="008245BA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342AB3" w:rsidRDefault="00342AB3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91F762A" wp14:editId="2A5F7946">
                  <wp:extent cx="4572000" cy="2047875"/>
                  <wp:effectExtent l="0" t="0" r="0" b="9525"/>
                  <wp:docPr id="1794830327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4AA8E-811B-2D1F-C079-2D08E21E64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342AB3" w:rsidRDefault="00342AB3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342AB3" w:rsidRDefault="00342AB3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2E5149" w:rsidRDefault="002E5149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2025-ben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75185  gondozási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nap mellett a feladatmutató </w:t>
            </w:r>
            <w:r w:rsidRPr="002E51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205,9863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volt. Diagnózis szerint megbontva:</w:t>
            </w:r>
          </w:p>
          <w:p w:rsidR="002E5149" w:rsidRDefault="002E5149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2E5149" w:rsidRDefault="002E5149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F20-F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30:</w:t>
            </w:r>
            <w:r w:rsidR="009D2B6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proofErr w:type="gramEnd"/>
            <w:r w:rsidR="009D2B6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189,7753              92,13%</w:t>
            </w:r>
          </w:p>
          <w:p w:rsidR="009D2B65" w:rsidRDefault="009D2B65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40: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16,2110                7,87%</w:t>
            </w:r>
          </w:p>
          <w:p w:rsidR="0024401E" w:rsidRDefault="0024401E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24401E" w:rsidRDefault="0024401E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24401E" w:rsidRPr="00EF1F1B" w:rsidRDefault="0024401E" w:rsidP="002E5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1F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ELLENŐRZÉSEK</w:t>
            </w:r>
          </w:p>
          <w:p w:rsidR="0024401E" w:rsidRDefault="0024401E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  <w:p w:rsidR="0024401E" w:rsidRPr="002E5149" w:rsidRDefault="0024401E" w:rsidP="002E5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2025-ben nem volt hatósági ellenőrzés.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9D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9D2B65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E5149" w:rsidRPr="002E5149" w:rsidTr="00342AB3">
        <w:trPr>
          <w:trHeight w:val="295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Default="00EF1F1B" w:rsidP="00EF1F1B">
            <w:pPr>
              <w:spacing w:after="0" w:line="240" w:lineRule="auto"/>
              <w:rPr>
                <w:bCs/>
              </w:rPr>
            </w:pPr>
            <w:r w:rsidRPr="00EF1F1B">
              <w:rPr>
                <w:bCs/>
              </w:rPr>
              <w:t>A 489/2013 (XII.18) Korm. Rend. 13. § (1</w:t>
            </w:r>
            <w:proofErr w:type="gramStart"/>
            <w:r w:rsidRPr="00EF1F1B">
              <w:rPr>
                <w:bCs/>
              </w:rPr>
              <w:t>)</w:t>
            </w:r>
            <w:r>
              <w:rPr>
                <w:bCs/>
              </w:rPr>
              <w:t xml:space="preserve">  alapján</w:t>
            </w:r>
            <w:proofErr w:type="gramEnd"/>
            <w:r>
              <w:rPr>
                <w:bCs/>
              </w:rPr>
              <w:t xml:space="preserve"> végzendő fenntartói ellenőrzés április, július, október hónapban megtörtént.</w:t>
            </w:r>
          </w:p>
          <w:p w:rsidR="00EF1F1B" w:rsidRDefault="00EF1F1B" w:rsidP="00EF1F1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Az ellátotti dokumentáció ellenőrzés</w:t>
            </w:r>
            <w:r w:rsidR="00281DEE">
              <w:rPr>
                <w:bCs/>
              </w:rPr>
              <w:t>ére</w:t>
            </w:r>
            <w:r>
              <w:rPr>
                <w:bCs/>
              </w:rPr>
              <w:t xml:space="preserve"> az év során egyszer</w:t>
            </w:r>
            <w:r w:rsidR="00281DEE">
              <w:rPr>
                <w:bCs/>
              </w:rPr>
              <w:t xml:space="preserve"> került sor.</w:t>
            </w:r>
          </w:p>
          <w:p w:rsidR="00EF1F1B" w:rsidRDefault="00EF1F1B" w:rsidP="00EF1F1B">
            <w:pPr>
              <w:spacing w:after="0" w:line="240" w:lineRule="auto"/>
              <w:rPr>
                <w:bCs/>
              </w:rPr>
            </w:pPr>
          </w:p>
          <w:p w:rsidR="00EF1F1B" w:rsidRDefault="00EF1F1B" w:rsidP="00EF1F1B">
            <w:pPr>
              <w:spacing w:after="0" w:line="240" w:lineRule="auto"/>
              <w:rPr>
                <w:bCs/>
              </w:rPr>
            </w:pPr>
          </w:p>
          <w:p w:rsidR="00EF1F1B" w:rsidRDefault="00EF1F1B" w:rsidP="00EF1F1B">
            <w:pPr>
              <w:spacing w:after="0" w:line="240" w:lineRule="auto"/>
              <w:rPr>
                <w:b/>
              </w:rPr>
            </w:pPr>
            <w:r w:rsidRPr="00EF1F1B">
              <w:rPr>
                <w:b/>
              </w:rPr>
              <w:t>SZEMÉLYI ÁLLOMÁNY</w:t>
            </w:r>
          </w:p>
          <w:p w:rsidR="00EF1F1B" w:rsidRDefault="00EF1F1B" w:rsidP="00EF1F1B">
            <w:pPr>
              <w:spacing w:after="0" w:line="240" w:lineRule="auto"/>
              <w:rPr>
                <w:b/>
              </w:rPr>
            </w:pPr>
          </w:p>
          <w:p w:rsidR="00EF1F1B" w:rsidRDefault="00920FE0" w:rsidP="00EF1F1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Közösségi gondozóink maximálisan kitöltötték az egy gondozó által ellátható keretet, </w:t>
            </w:r>
            <w:r w:rsidR="00281DEE">
              <w:rPr>
                <w:bCs/>
              </w:rPr>
              <w:t>továbbá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a </w:t>
            </w:r>
            <w:r w:rsidR="00EF1F1B">
              <w:rPr>
                <w:bCs/>
              </w:rPr>
              <w:t xml:space="preserve"> megnövekedett</w:t>
            </w:r>
            <w:proofErr w:type="gramEnd"/>
            <w:r w:rsidR="00EF1F1B">
              <w:rPr>
                <w:bCs/>
              </w:rPr>
              <w:t xml:space="preserve"> ellátotti létszám szükségessé tette 3 új, fiatal kolléga részmunkaidős bevonását, akik előzőleg már önkéntesként </w:t>
            </w:r>
            <w:r>
              <w:rPr>
                <w:bCs/>
              </w:rPr>
              <w:t>tevékenykedtek alapítványunknál. Gondozóink között több ízben volt óraszám változás, ami kliensek átadásával is járt.</w:t>
            </w:r>
          </w:p>
          <w:p w:rsidR="00920FE0" w:rsidRDefault="00920FE0" w:rsidP="00EF1F1B">
            <w:pPr>
              <w:spacing w:after="0" w:line="240" w:lineRule="auto"/>
              <w:rPr>
                <w:bCs/>
              </w:rPr>
            </w:pPr>
          </w:p>
          <w:p w:rsidR="00920FE0" w:rsidRDefault="00920FE0" w:rsidP="00EF1F1B">
            <w:pPr>
              <w:spacing w:after="0" w:line="240" w:lineRule="auto"/>
              <w:rPr>
                <w:b/>
              </w:rPr>
            </w:pPr>
          </w:p>
          <w:p w:rsidR="00920FE0" w:rsidRDefault="00920FE0" w:rsidP="00EF1F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KÖLTÖZÉS</w:t>
            </w:r>
          </w:p>
          <w:p w:rsidR="00920FE0" w:rsidRDefault="00920FE0" w:rsidP="00EF1F1B">
            <w:pPr>
              <w:spacing w:after="0" w:line="240" w:lineRule="auto"/>
              <w:rPr>
                <w:bCs/>
              </w:rPr>
            </w:pPr>
            <w:r w:rsidRPr="00920FE0">
              <w:rPr>
                <w:bCs/>
              </w:rPr>
              <w:t>A</w:t>
            </w:r>
            <w:r>
              <w:rPr>
                <w:bCs/>
              </w:rPr>
              <w:t xml:space="preserve"> 2025 tavaszán zajló többlépcsős költözésből közösségi gondozóink is derekasan kivették részüket. Gondosan ügyeltek az ellátotti dokumentáció biztonságos átszállítására, az új székhelyen zárható tárolásuk kialakítására. </w:t>
            </w:r>
            <w:r w:rsidR="001F40C9">
              <w:rPr>
                <w:bCs/>
              </w:rPr>
              <w:t xml:space="preserve">Ugyancsak biztonságos körülmények között került átszállításra és elhelyezésre </w:t>
            </w:r>
            <w:proofErr w:type="gramStart"/>
            <w:r w:rsidR="001F40C9">
              <w:rPr>
                <w:bCs/>
              </w:rPr>
              <w:t>a  kigondozott</w:t>
            </w:r>
            <w:proofErr w:type="gramEnd"/>
            <w:r w:rsidR="001F40C9">
              <w:rPr>
                <w:bCs/>
              </w:rPr>
              <w:t xml:space="preserve"> kliensek mappáit is tartalmazó irattár. A mappákról leltár készült.</w:t>
            </w:r>
          </w:p>
          <w:p w:rsidR="001F40C9" w:rsidRDefault="001F40C9" w:rsidP="00EF1F1B">
            <w:pPr>
              <w:spacing w:after="0" w:line="240" w:lineRule="auto"/>
              <w:rPr>
                <w:bCs/>
              </w:rPr>
            </w:pPr>
          </w:p>
          <w:p w:rsidR="001F40C9" w:rsidRDefault="001F40C9" w:rsidP="00EF1F1B">
            <w:pPr>
              <w:spacing w:after="0" w:line="240" w:lineRule="auto"/>
              <w:rPr>
                <w:bCs/>
              </w:rPr>
            </w:pPr>
          </w:p>
          <w:p w:rsidR="001F40C9" w:rsidRPr="00920FE0" w:rsidRDefault="001F40C9" w:rsidP="00EF1F1B">
            <w:pPr>
              <w:spacing w:after="0" w:line="240" w:lineRule="auto"/>
              <w:rPr>
                <w:bCs/>
              </w:rPr>
            </w:pPr>
          </w:p>
          <w:p w:rsidR="00920FE0" w:rsidRDefault="001F40C9" w:rsidP="00EF1F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CÉLOK, TERVEK</w:t>
            </w:r>
          </w:p>
          <w:p w:rsidR="001F40C9" w:rsidRDefault="001F40C9" w:rsidP="00EF1F1B">
            <w:pPr>
              <w:spacing w:after="0" w:line="240" w:lineRule="auto"/>
              <w:rPr>
                <w:b/>
              </w:rPr>
            </w:pPr>
          </w:p>
          <w:p w:rsidR="001F40C9" w:rsidRDefault="001F40C9" w:rsidP="001F40C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2026-ban optimalizálni kell az ellátotti létszámot, mivel a 2025-ös feladatmutató csak jelentősen megemelt létszám mellett volt teljesíthető.</w:t>
            </w:r>
          </w:p>
          <w:p w:rsidR="001F40C9" w:rsidRDefault="001F40C9" w:rsidP="001F40C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</w:t>
            </w:r>
            <w:r w:rsidRPr="001F40C9">
              <w:rPr>
                <w:bCs/>
              </w:rPr>
              <w:t>z év minden napjára vonatkozóan teljesíteni kell az előirányzott 205-ös feladatmutatót.</w:t>
            </w:r>
          </w:p>
          <w:p w:rsidR="00DC0CF7" w:rsidRDefault="00DC0CF7" w:rsidP="001F40C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 KENYSZI rendszerbeli adatszolgáltatást érintő változásról tájékoztatni kell új klienseinket,</w:t>
            </w:r>
            <w:r w:rsidR="00281DEE">
              <w:rPr>
                <w:bCs/>
              </w:rPr>
              <w:t xml:space="preserve"> -</w:t>
            </w:r>
            <w:r>
              <w:rPr>
                <w:bCs/>
              </w:rPr>
              <w:t xml:space="preserve"> szóban a leendő gondozó által, írásban a dokumentáció </w:t>
            </w:r>
            <w:proofErr w:type="spellStart"/>
            <w:r>
              <w:rPr>
                <w:bCs/>
              </w:rPr>
              <w:t>részet</w:t>
            </w:r>
            <w:proofErr w:type="spellEnd"/>
            <w:r>
              <w:rPr>
                <w:bCs/>
              </w:rPr>
              <w:t xml:space="preserve"> képező „Tájékoztató” című dokumentumban.</w:t>
            </w:r>
          </w:p>
          <w:p w:rsidR="00DC0CF7" w:rsidRDefault="001F40C9" w:rsidP="001F40C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Az év során legalább 2 alkalommal meg kell történnie az ellátotti </w:t>
            </w:r>
          </w:p>
          <w:p w:rsidR="001F40C9" w:rsidRDefault="001F40C9" w:rsidP="001F40C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dokumentáció ellenőrzésének</w:t>
            </w:r>
            <w:r w:rsidR="00DC0CF7">
              <w:rPr>
                <w:bCs/>
              </w:rPr>
              <w:t>.</w:t>
            </w:r>
          </w:p>
          <w:p w:rsidR="00DC0CF7" w:rsidRPr="001F40C9" w:rsidRDefault="00DC0CF7" w:rsidP="001F40C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Fel kell készülni a hatósági ellenőrzésekre.</w:t>
            </w:r>
          </w:p>
          <w:p w:rsidR="00EF1F1B" w:rsidRDefault="00EF1F1B" w:rsidP="00EF1F1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hu-HU"/>
                <w14:ligatures w14:val="none"/>
              </w:rPr>
            </w:pPr>
          </w:p>
          <w:p w:rsidR="00EF1F1B" w:rsidRPr="002E5149" w:rsidRDefault="00EF1F1B" w:rsidP="00EF1F1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2E5149" w:rsidRPr="002E5149" w:rsidTr="00342AB3">
        <w:trPr>
          <w:trHeight w:val="295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149" w:rsidRPr="002E5149" w:rsidRDefault="002E5149" w:rsidP="002E5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:rsidR="002E5149" w:rsidRPr="002E5149" w:rsidRDefault="002E5149">
      <w:pPr>
        <w:rPr>
          <w:b/>
          <w:bCs/>
        </w:rPr>
      </w:pPr>
    </w:p>
    <w:sectPr w:rsidR="002E5149" w:rsidRPr="002E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5BA" w:rsidRDefault="008245BA" w:rsidP="008245BA">
      <w:pPr>
        <w:spacing w:after="0" w:line="240" w:lineRule="auto"/>
      </w:pPr>
      <w:r>
        <w:separator/>
      </w:r>
    </w:p>
  </w:endnote>
  <w:endnote w:type="continuationSeparator" w:id="0">
    <w:p w:rsidR="008245BA" w:rsidRDefault="008245BA" w:rsidP="0082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5BA" w:rsidRDefault="008245BA" w:rsidP="008245BA">
      <w:pPr>
        <w:spacing w:after="0" w:line="240" w:lineRule="auto"/>
      </w:pPr>
      <w:r>
        <w:separator/>
      </w:r>
    </w:p>
  </w:footnote>
  <w:footnote w:type="continuationSeparator" w:id="0">
    <w:p w:rsidR="008245BA" w:rsidRDefault="008245BA" w:rsidP="0082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054EA"/>
    <w:multiLevelType w:val="hybridMultilevel"/>
    <w:tmpl w:val="AB50C7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41"/>
    <w:rsid w:val="0000271D"/>
    <w:rsid w:val="001F40C9"/>
    <w:rsid w:val="001F4D64"/>
    <w:rsid w:val="00212A60"/>
    <w:rsid w:val="0024401E"/>
    <w:rsid w:val="00272EE3"/>
    <w:rsid w:val="00281DEE"/>
    <w:rsid w:val="002E5149"/>
    <w:rsid w:val="00342AB3"/>
    <w:rsid w:val="004233B6"/>
    <w:rsid w:val="00491B11"/>
    <w:rsid w:val="004C5501"/>
    <w:rsid w:val="004E0266"/>
    <w:rsid w:val="005B63E5"/>
    <w:rsid w:val="007853CE"/>
    <w:rsid w:val="008245BA"/>
    <w:rsid w:val="00882D41"/>
    <w:rsid w:val="00920FE0"/>
    <w:rsid w:val="00951242"/>
    <w:rsid w:val="009D2B65"/>
    <w:rsid w:val="00A53E18"/>
    <w:rsid w:val="00DC0CF7"/>
    <w:rsid w:val="00DE5243"/>
    <w:rsid w:val="00EF1F1B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99D1"/>
  <w15:chartTrackingRefBased/>
  <w15:docId w15:val="{80C4F7EB-8A41-4E1A-947C-CD63E39B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2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2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2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2D4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2D4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2D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2D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2D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2D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2D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2D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2D4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2D4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2D4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2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45BA"/>
  </w:style>
  <w:style w:type="paragraph" w:styleId="llb">
    <w:name w:val="footer"/>
    <w:basedOn w:val="Norml"/>
    <w:link w:val="llbChar"/>
    <w:uiPriority w:val="99"/>
    <w:unhideWhenUsed/>
    <w:rsid w:val="0082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Z&#193;MOK%20A%20BESZ&#193;MOL&#211;HO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Z&#193;MOK%20A%20BESZ&#193;MOL&#211;HOZ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Z&#193;MOK%20A%20BESZ&#193;MOL&#211;HOZ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Z&#193;MOK%20A%20BESZ&#193;MOL&#211;HOZ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Közösségi</a:t>
            </a:r>
            <a:r>
              <a:rPr lang="hu-HU" baseline="0"/>
              <a:t> ellátottak nemek szerinti megoszlása 2025-ben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EE0000"/>
            </a:solidFill>
          </c:spPr>
          <c:dPt>
            <c:idx val="0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4B-4A68-BE2A-E9AC9DDCEF16}"/>
              </c:ext>
            </c:extLst>
          </c:dPt>
          <c:dPt>
            <c:idx val="1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4B-4A68-BE2A-E9AC9DDCEF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LAKHELY!$E$57:$E$58</c:f>
              <c:strCache>
                <c:ptCount val="2"/>
                <c:pt idx="0">
                  <c:v>NŐ</c:v>
                </c:pt>
                <c:pt idx="1">
                  <c:v>FÉRFI</c:v>
                </c:pt>
              </c:strCache>
            </c:strRef>
          </c:cat>
          <c:val>
            <c:numRef>
              <c:f>LAKHELY!$F$57:$F$58</c:f>
              <c:numCache>
                <c:formatCode>0.0%</c:formatCode>
                <c:ptCount val="2"/>
                <c:pt idx="0">
                  <c:v>0.58599999999999997</c:v>
                </c:pt>
                <c:pt idx="1">
                  <c:v>0.41399999999999998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C4B-4A68-BE2A-E9AC9DDCEF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Közösségi ellátottak %-os</a:t>
            </a:r>
            <a:r>
              <a:rPr lang="hu-HU" baseline="0"/>
              <a:t> </a:t>
            </a:r>
            <a:r>
              <a:rPr lang="hu-HU"/>
              <a:t>megoszlása diagnóziskód szerint</a:t>
            </a:r>
            <a:r>
              <a:rPr lang="hu-HU" baseline="0"/>
              <a:t> 2025-ben</a:t>
            </a:r>
            <a:r>
              <a:rPr lang="hu-H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LAKHELY!$B$46:$B$48</c:f>
              <c:strCache>
                <c:ptCount val="3"/>
                <c:pt idx="0">
                  <c:v>F20</c:v>
                </c:pt>
                <c:pt idx="1">
                  <c:v>F30</c:v>
                </c:pt>
                <c:pt idx="2">
                  <c:v>F40</c:v>
                </c:pt>
              </c:strCache>
            </c:strRef>
          </c:cat>
          <c:val>
            <c:numRef>
              <c:f>LAKHELY!$C$46:$C$48</c:f>
              <c:numCache>
                <c:formatCode>0.0</c:formatCode>
                <c:ptCount val="3"/>
                <c:pt idx="0">
                  <c:v>50.8</c:v>
                </c:pt>
                <c:pt idx="1">
                  <c:v>41</c:v>
                </c:pt>
                <c:pt idx="2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89-44CE-9ECD-BC26941459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9970592"/>
        <c:axId val="109967712"/>
      </c:barChart>
      <c:catAx>
        <c:axId val="10997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967712"/>
        <c:crosses val="autoZero"/>
        <c:auto val="1"/>
        <c:lblAlgn val="ctr"/>
        <c:lblOffset val="100"/>
        <c:noMultiLvlLbl val="0"/>
      </c:catAx>
      <c:valAx>
        <c:axId val="10996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970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Közösségi ellátottak %-os megoszlása</a:t>
            </a:r>
            <a:r>
              <a:rPr lang="hu-HU" baseline="0"/>
              <a:t> 2025-ben lakóhely szerint</a:t>
            </a:r>
            <a:endParaRPr lang="hu-H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LAKHELY!$C$1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LAKHELY!$A$2:$A$31</c:f>
              <c:strCache>
                <c:ptCount val="30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XXI-</c:v>
                </c:pt>
                <c:pt idx="21">
                  <c:v>XXII.</c:v>
                </c:pt>
                <c:pt idx="22">
                  <c:v>XXIII.</c:v>
                </c:pt>
                <c:pt idx="23">
                  <c:v>Érd</c:v>
                </c:pt>
                <c:pt idx="24">
                  <c:v>Diósd</c:v>
                </c:pt>
                <c:pt idx="25">
                  <c:v>Százhalombatta</c:v>
                </c:pt>
                <c:pt idx="26">
                  <c:v>Törökbálint</c:v>
                </c:pt>
                <c:pt idx="27">
                  <c:v>Budakeszi</c:v>
                </c:pt>
                <c:pt idx="28">
                  <c:v>Budaörs</c:v>
                </c:pt>
                <c:pt idx="29">
                  <c:v>Biatorbágy</c:v>
                </c:pt>
              </c:strCache>
            </c:strRef>
          </c:cat>
          <c:val>
            <c:numRef>
              <c:f>LAKHELY!$C$2:$C$31</c:f>
              <c:numCache>
                <c:formatCode>0.0</c:formatCode>
                <c:ptCount val="30"/>
                <c:pt idx="0">
                  <c:v>1.5625</c:v>
                </c:pt>
                <c:pt idx="1">
                  <c:v>2.34375</c:v>
                </c:pt>
                <c:pt idx="2">
                  <c:v>5.859375</c:v>
                </c:pt>
                <c:pt idx="3">
                  <c:v>5.46875</c:v>
                </c:pt>
                <c:pt idx="4">
                  <c:v>1.5625</c:v>
                </c:pt>
                <c:pt idx="5">
                  <c:v>3.515625</c:v>
                </c:pt>
                <c:pt idx="6">
                  <c:v>3.125</c:v>
                </c:pt>
                <c:pt idx="7">
                  <c:v>14.453125</c:v>
                </c:pt>
                <c:pt idx="8">
                  <c:v>8.203125</c:v>
                </c:pt>
                <c:pt idx="9">
                  <c:v>6.640625</c:v>
                </c:pt>
                <c:pt idx="10">
                  <c:v>7.03125</c:v>
                </c:pt>
                <c:pt idx="11">
                  <c:v>1.953125</c:v>
                </c:pt>
                <c:pt idx="12">
                  <c:v>5.859375</c:v>
                </c:pt>
                <c:pt idx="13">
                  <c:v>6.640625</c:v>
                </c:pt>
                <c:pt idx="14">
                  <c:v>3.515625</c:v>
                </c:pt>
                <c:pt idx="15">
                  <c:v>1.5625</c:v>
                </c:pt>
                <c:pt idx="16">
                  <c:v>3.125</c:v>
                </c:pt>
                <c:pt idx="17">
                  <c:v>2.34375</c:v>
                </c:pt>
                <c:pt idx="18">
                  <c:v>2.734375</c:v>
                </c:pt>
                <c:pt idx="19">
                  <c:v>1.953125</c:v>
                </c:pt>
                <c:pt idx="20">
                  <c:v>5.078125</c:v>
                </c:pt>
                <c:pt idx="21">
                  <c:v>0.78125</c:v>
                </c:pt>
                <c:pt idx="22">
                  <c:v>0.390625</c:v>
                </c:pt>
                <c:pt idx="23">
                  <c:v>0.390625</c:v>
                </c:pt>
                <c:pt idx="24">
                  <c:v>0.390625</c:v>
                </c:pt>
                <c:pt idx="25">
                  <c:v>0.78125</c:v>
                </c:pt>
                <c:pt idx="26">
                  <c:v>0.390625</c:v>
                </c:pt>
                <c:pt idx="27">
                  <c:v>0.390625</c:v>
                </c:pt>
                <c:pt idx="28">
                  <c:v>1.5625</c:v>
                </c:pt>
                <c:pt idx="29">
                  <c:v>0.390625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6-4E0E-817D-38B57F573111}"/>
            </c:ext>
          </c:extLst>
        </c:ser>
        <c:ser>
          <c:idx val="0"/>
          <c:order val="1"/>
          <c:tx>
            <c:strRef>
              <c:f>LAKHELY!$C$1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LAKHELY!$A$2:$A$31</c:f>
              <c:strCache>
                <c:ptCount val="30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XXI-</c:v>
                </c:pt>
                <c:pt idx="21">
                  <c:v>XXII.</c:v>
                </c:pt>
                <c:pt idx="22">
                  <c:v>XXIII.</c:v>
                </c:pt>
                <c:pt idx="23">
                  <c:v>Érd</c:v>
                </c:pt>
                <c:pt idx="24">
                  <c:v>Diósd</c:v>
                </c:pt>
                <c:pt idx="25">
                  <c:v>Százhalombatta</c:v>
                </c:pt>
                <c:pt idx="26">
                  <c:v>Törökbálint</c:v>
                </c:pt>
                <c:pt idx="27">
                  <c:v>Budakeszi</c:v>
                </c:pt>
                <c:pt idx="28">
                  <c:v>Budaörs</c:v>
                </c:pt>
                <c:pt idx="29">
                  <c:v>Biatorbágy</c:v>
                </c:pt>
              </c:strCache>
            </c:strRef>
          </c:cat>
          <c:val>
            <c:numRef>
              <c:f>LAKHELY!$C$2:$C$31</c:f>
              <c:numCache>
                <c:formatCode>0.0</c:formatCode>
                <c:ptCount val="30"/>
                <c:pt idx="0">
                  <c:v>1.5625</c:v>
                </c:pt>
                <c:pt idx="1">
                  <c:v>2.34375</c:v>
                </c:pt>
                <c:pt idx="2">
                  <c:v>5.859375</c:v>
                </c:pt>
                <c:pt idx="3">
                  <c:v>5.46875</c:v>
                </c:pt>
                <c:pt idx="4">
                  <c:v>1.5625</c:v>
                </c:pt>
                <c:pt idx="5">
                  <c:v>3.515625</c:v>
                </c:pt>
                <c:pt idx="6">
                  <c:v>3.125</c:v>
                </c:pt>
                <c:pt idx="7">
                  <c:v>14.453125</c:v>
                </c:pt>
                <c:pt idx="8">
                  <c:v>8.203125</c:v>
                </c:pt>
                <c:pt idx="9">
                  <c:v>6.640625</c:v>
                </c:pt>
                <c:pt idx="10">
                  <c:v>7.03125</c:v>
                </c:pt>
                <c:pt idx="11">
                  <c:v>1.953125</c:v>
                </c:pt>
                <c:pt idx="12">
                  <c:v>5.859375</c:v>
                </c:pt>
                <c:pt idx="13">
                  <c:v>6.640625</c:v>
                </c:pt>
                <c:pt idx="14">
                  <c:v>3.515625</c:v>
                </c:pt>
                <c:pt idx="15">
                  <c:v>1.5625</c:v>
                </c:pt>
                <c:pt idx="16">
                  <c:v>3.125</c:v>
                </c:pt>
                <c:pt idx="17">
                  <c:v>2.34375</c:v>
                </c:pt>
                <c:pt idx="18">
                  <c:v>2.734375</c:v>
                </c:pt>
                <c:pt idx="19">
                  <c:v>1.953125</c:v>
                </c:pt>
                <c:pt idx="20">
                  <c:v>5.078125</c:v>
                </c:pt>
                <c:pt idx="21">
                  <c:v>0.78125</c:v>
                </c:pt>
                <c:pt idx="22">
                  <c:v>0.390625</c:v>
                </c:pt>
                <c:pt idx="23">
                  <c:v>0.390625</c:v>
                </c:pt>
                <c:pt idx="24">
                  <c:v>0.390625</c:v>
                </c:pt>
                <c:pt idx="25">
                  <c:v>0.78125</c:v>
                </c:pt>
                <c:pt idx="26">
                  <c:v>0.390625</c:v>
                </c:pt>
                <c:pt idx="27">
                  <c:v>0.390625</c:v>
                </c:pt>
                <c:pt idx="28">
                  <c:v>1.5625</c:v>
                </c:pt>
                <c:pt idx="29">
                  <c:v>0.390625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6-4E0E-817D-38B57F5731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437312"/>
        <c:axId val="240448352"/>
      </c:barChart>
      <c:catAx>
        <c:axId val="24043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0448352"/>
        <c:crosses val="autoZero"/>
        <c:auto val="1"/>
        <c:lblAlgn val="ctr"/>
        <c:lblOffset val="100"/>
        <c:noMultiLvlLbl val="0"/>
      </c:catAx>
      <c:valAx>
        <c:axId val="24044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0437312"/>
        <c:crosses val="autoZero"/>
        <c:crossBetween val="between"/>
      </c:valAx>
    </c:plotArea>
    <c:plotVisOnly val="1"/>
    <c:dispBlanksAs val="gap"/>
    <c:showDLblsOverMax val="0"/>
    <c:extLst/>
  </c:chart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2025. évi feladatmutató alakulása havonta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FELADAGTMUTATÓ!$A$1:$L$1</c:f>
              <c:strCache>
                <c:ptCount val="12"/>
                <c:pt idx="0">
                  <c:v>01.</c:v>
                </c:pt>
                <c:pt idx="1">
                  <c:v>02.</c:v>
                </c:pt>
                <c:pt idx="2">
                  <c:v>03.</c:v>
                </c:pt>
                <c:pt idx="3">
                  <c:v>04.</c:v>
                </c:pt>
                <c:pt idx="4">
                  <c:v>05.</c:v>
                </c:pt>
                <c:pt idx="5">
                  <c:v>06.</c:v>
                </c:pt>
                <c:pt idx="6">
                  <c:v>07.</c:v>
                </c:pt>
                <c:pt idx="7">
                  <c:v>08.</c:v>
                </c:pt>
                <c:pt idx="8">
                  <c:v>09.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</c:strCache>
            </c:strRef>
          </c:cat>
          <c:val>
            <c:numRef>
              <c:f>FELADAGTMUTATÓ!$A$2:$L$2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65-4788-847C-F465463E2611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FELADAGTMUTATÓ!$A$1:$L$1</c:f>
              <c:strCache>
                <c:ptCount val="12"/>
                <c:pt idx="0">
                  <c:v>01.</c:v>
                </c:pt>
                <c:pt idx="1">
                  <c:v>02.</c:v>
                </c:pt>
                <c:pt idx="2">
                  <c:v>03.</c:v>
                </c:pt>
                <c:pt idx="3">
                  <c:v>04.</c:v>
                </c:pt>
                <c:pt idx="4">
                  <c:v>05.</c:v>
                </c:pt>
                <c:pt idx="5">
                  <c:v>06.</c:v>
                </c:pt>
                <c:pt idx="6">
                  <c:v>07.</c:v>
                </c:pt>
                <c:pt idx="7">
                  <c:v>08.</c:v>
                </c:pt>
                <c:pt idx="8">
                  <c:v>09.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</c:strCache>
            </c:strRef>
          </c:cat>
          <c:val>
            <c:numRef>
              <c:f>FELADAGTMUTATÓ!$A$3:$L$3</c:f>
              <c:numCache>
                <c:formatCode>0.0</c:formatCode>
                <c:ptCount val="12"/>
                <c:pt idx="0">
                  <c:v>165.12899999999999</c:v>
                </c:pt>
                <c:pt idx="1">
                  <c:v>184.57140000000001</c:v>
                </c:pt>
                <c:pt idx="2">
                  <c:v>196.1935</c:v>
                </c:pt>
                <c:pt idx="3">
                  <c:v>198.5333</c:v>
                </c:pt>
                <c:pt idx="4">
                  <c:v>203.06450000000001</c:v>
                </c:pt>
                <c:pt idx="5">
                  <c:v>204.63329999999999</c:v>
                </c:pt>
                <c:pt idx="6">
                  <c:v>207.32259999999999</c:v>
                </c:pt>
                <c:pt idx="7">
                  <c:v>210.77420000000001</c:v>
                </c:pt>
                <c:pt idx="8">
                  <c:v>217.8</c:v>
                </c:pt>
                <c:pt idx="9">
                  <c:v>224.96770000000001</c:v>
                </c:pt>
                <c:pt idx="10">
                  <c:v>228.1</c:v>
                </c:pt>
                <c:pt idx="11">
                  <c:v>229.48390000000001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65-4788-847C-F465463E2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439712"/>
        <c:axId val="240449792"/>
      </c:lineChart>
      <c:catAx>
        <c:axId val="24043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0449792"/>
        <c:crosses val="autoZero"/>
        <c:auto val="1"/>
        <c:lblAlgn val="ctr"/>
        <c:lblOffset val="100"/>
        <c:noMultiLvlLbl val="0"/>
      </c:catAx>
      <c:valAx>
        <c:axId val="24044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4043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461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7</cp:revision>
  <dcterms:created xsi:type="dcterms:W3CDTF">2026-01-18T07:55:00Z</dcterms:created>
  <dcterms:modified xsi:type="dcterms:W3CDTF">2026-01-18T17:38:00Z</dcterms:modified>
</cp:coreProperties>
</file>